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C6912" w:rsidRPr="00AC6912" w:rsidRDefault="00AC6912" w:rsidP="00AC6912">
      <w:pPr>
        <w:spacing w:line="360" w:lineRule="auto"/>
        <w:jc w:val="center"/>
        <w:rPr>
          <w:rFonts w:ascii="宋体" w:eastAsia="宋体" w:hAnsi="宋体" w:hint="eastAsia"/>
          <w:b/>
          <w:bCs/>
          <w:sz w:val="24"/>
          <w:szCs w:val="24"/>
        </w:rPr>
      </w:pPr>
      <w:r w:rsidRPr="00AC6912">
        <w:rPr>
          <w:rFonts w:ascii="宋体" w:eastAsia="宋体" w:hAnsi="宋体" w:hint="eastAsia"/>
          <w:b/>
          <w:bCs/>
          <w:sz w:val="24"/>
          <w:szCs w:val="24"/>
        </w:rPr>
        <w:t>“交通设计大赛”题目解析</w:t>
      </w:r>
    </w:p>
    <w:p w:rsidR="00AC6912" w:rsidRPr="00AC6912" w:rsidRDefault="00AC6912" w:rsidP="00AC6912">
      <w:pPr>
        <w:spacing w:line="360" w:lineRule="auto"/>
        <w:jc w:val="center"/>
        <w:rPr>
          <w:rFonts w:ascii="宋体" w:eastAsia="宋体" w:hAnsi="宋体" w:hint="eastAsia"/>
          <w:b/>
          <w:bCs/>
          <w:sz w:val="24"/>
          <w:szCs w:val="24"/>
        </w:rPr>
      </w:pPr>
      <w:r w:rsidRPr="00AC6912">
        <w:rPr>
          <w:rFonts w:ascii="宋体" w:eastAsia="宋体" w:hAnsi="宋体" w:hint="eastAsia"/>
          <w:b/>
          <w:bCs/>
          <w:sz w:val="24"/>
          <w:szCs w:val="24"/>
        </w:rPr>
        <w:t>大赛题目：慢行交通系统设计</w:t>
      </w:r>
    </w:p>
    <w:p w:rsidR="00AC6912" w:rsidRPr="00AC6912" w:rsidRDefault="00AC6912" w:rsidP="00AC6912">
      <w:pPr>
        <w:spacing w:line="360" w:lineRule="auto"/>
        <w:rPr>
          <w:rFonts w:ascii="宋体" w:eastAsia="宋体" w:hAnsi="宋体" w:hint="eastAsia"/>
          <w:b/>
          <w:bCs/>
          <w:sz w:val="24"/>
          <w:szCs w:val="24"/>
        </w:rPr>
      </w:pPr>
      <w:r w:rsidRPr="00AC6912">
        <w:rPr>
          <w:rFonts w:ascii="宋体" w:eastAsia="宋体" w:hAnsi="宋体" w:hint="eastAsia"/>
          <w:b/>
          <w:bCs/>
          <w:sz w:val="24"/>
          <w:szCs w:val="24"/>
        </w:rPr>
        <w:t>课题简介：</w:t>
      </w:r>
    </w:p>
    <w:p w:rsidR="00AC6912" w:rsidRPr="00AC6912" w:rsidRDefault="00AC6912" w:rsidP="00AC6912">
      <w:pPr>
        <w:spacing w:line="360" w:lineRule="auto"/>
        <w:ind w:firstLine="420"/>
        <w:rPr>
          <w:rFonts w:ascii="宋体" w:eastAsia="宋体" w:hAnsi="宋体" w:hint="eastAsia"/>
          <w:sz w:val="24"/>
          <w:szCs w:val="24"/>
        </w:rPr>
      </w:pPr>
      <w:r w:rsidRPr="00AC6912">
        <w:rPr>
          <w:rFonts w:ascii="宋体" w:eastAsia="宋体" w:hAnsi="宋体" w:hint="eastAsia"/>
          <w:sz w:val="24"/>
          <w:szCs w:val="24"/>
        </w:rPr>
        <w:t>慢行交通是步行和自行车交通的总称，从广义上讲，也包含电动自行车等其他非机动交通方式。既有的道路交通系统以应对机动车交通需求为主，但随着人们对出行品质的要求提高，慢行交通从“出行”逐渐转变为“出行+生活”，对交通系统中慢行交通设施的舒适性和安全性提出更高的要求。本次交通设计大赛以“慢行交通系统设计”为主题，可以针对校园、城市CBD地区、历史风貌区或社区、各等级城市道路及路网等不同的对象，针对慢行交通现状存在的主要问题，提出慢行交通系统设计方案。可以针对步行交通系统或自行车交通系统单独进行设计，也可以针对整个慢行交通系统进行设计。</w:t>
      </w:r>
    </w:p>
    <w:p w:rsidR="00AC6912" w:rsidRPr="00AC6912" w:rsidRDefault="00AC6912" w:rsidP="00AC6912">
      <w:pPr>
        <w:spacing w:line="360" w:lineRule="auto"/>
        <w:ind w:firstLine="420"/>
        <w:rPr>
          <w:rFonts w:ascii="宋体" w:eastAsia="宋体" w:hAnsi="宋体" w:hint="eastAsia"/>
          <w:sz w:val="24"/>
          <w:szCs w:val="24"/>
        </w:rPr>
      </w:pPr>
      <w:r w:rsidRPr="00AC6912">
        <w:rPr>
          <w:rFonts w:ascii="宋体" w:eastAsia="宋体" w:hAnsi="宋体" w:hint="eastAsia"/>
          <w:sz w:val="24"/>
          <w:szCs w:val="24"/>
        </w:rPr>
        <w:t>设计以提升慢行交通出行环境（包括视觉环境、安全性、便捷性、舒适性等）、增强社区活力为目标，从交通和景观两个方面提出慢行交通改善方案；针对步行、自行车和机动车制定一系列规划策略和方案，并对重点片区进行改善设计，最后制定相应的建设时序和保障措施。</w:t>
      </w:r>
    </w:p>
    <w:p w:rsidR="00AC6912" w:rsidRDefault="00AC6912" w:rsidP="00AC6912">
      <w:pPr>
        <w:spacing w:line="360" w:lineRule="auto"/>
        <w:ind w:firstLine="420"/>
        <w:rPr>
          <w:rFonts w:ascii="宋体" w:eastAsia="宋体" w:hAnsi="宋体"/>
          <w:sz w:val="24"/>
          <w:szCs w:val="24"/>
        </w:rPr>
      </w:pPr>
      <w:r w:rsidRPr="00AC6912">
        <w:rPr>
          <w:rFonts w:ascii="宋体" w:eastAsia="宋体" w:hAnsi="宋体" w:hint="eastAsia"/>
          <w:sz w:val="24"/>
          <w:szCs w:val="24"/>
        </w:rPr>
        <w:t>本大赛的主旨是提出设计方法，并能够指导实践，重点在于创造性的给出设计方案，而非进行数学模型研究。</w:t>
      </w:r>
    </w:p>
    <w:p w:rsidR="00AC6912" w:rsidRPr="00AC6912" w:rsidRDefault="00AC6912" w:rsidP="00AC6912">
      <w:pPr>
        <w:spacing w:line="360" w:lineRule="auto"/>
        <w:ind w:firstLine="420"/>
        <w:rPr>
          <w:rFonts w:ascii="宋体" w:eastAsia="宋体" w:hAnsi="宋体" w:hint="eastAsia"/>
          <w:sz w:val="24"/>
          <w:szCs w:val="24"/>
        </w:rPr>
      </w:pPr>
    </w:p>
    <w:p w:rsidR="00AC6912" w:rsidRPr="00AC6912" w:rsidRDefault="00AC6912" w:rsidP="00AC6912">
      <w:pPr>
        <w:spacing w:line="360" w:lineRule="auto"/>
        <w:rPr>
          <w:rFonts w:ascii="宋体" w:eastAsia="宋体" w:hAnsi="宋体" w:hint="eastAsia"/>
          <w:sz w:val="24"/>
          <w:szCs w:val="24"/>
        </w:rPr>
      </w:pPr>
      <w:r w:rsidRPr="00AC6912">
        <w:rPr>
          <w:rFonts w:ascii="宋体" w:eastAsia="宋体" w:hAnsi="宋体" w:hint="eastAsia"/>
          <w:sz w:val="24"/>
          <w:szCs w:val="24"/>
        </w:rPr>
        <w:t>我们提供以下案例区域供同学选择，各位同学也可自己选择研究区域（可利用航拍图、实测等获取研究区域基础资料）。</w:t>
      </w:r>
    </w:p>
    <w:p w:rsidR="00AC6912" w:rsidRPr="00AC6912" w:rsidRDefault="00AC6912" w:rsidP="00AC6912">
      <w:pPr>
        <w:numPr>
          <w:ilvl w:val="0"/>
          <w:numId w:val="1"/>
        </w:numPr>
        <w:spacing w:line="360" w:lineRule="auto"/>
        <w:rPr>
          <w:rFonts w:ascii="宋体" w:eastAsia="宋体" w:hAnsi="宋体" w:hint="eastAsia"/>
          <w:sz w:val="24"/>
          <w:szCs w:val="24"/>
        </w:rPr>
      </w:pPr>
      <w:r w:rsidRPr="00AC6912">
        <w:rPr>
          <w:rFonts w:ascii="宋体" w:eastAsia="宋体" w:hAnsi="宋体" w:hint="eastAsia"/>
          <w:sz w:val="24"/>
          <w:szCs w:val="24"/>
        </w:rPr>
        <w:t>同济大学嘉定校区</w:t>
      </w:r>
    </w:p>
    <w:p w:rsidR="00AC6912" w:rsidRPr="00AC6912" w:rsidRDefault="00AC6912" w:rsidP="00AC6912">
      <w:pPr>
        <w:numPr>
          <w:ilvl w:val="0"/>
          <w:numId w:val="1"/>
        </w:numPr>
        <w:spacing w:line="360" w:lineRule="auto"/>
        <w:rPr>
          <w:rFonts w:ascii="宋体" w:eastAsia="宋体" w:hAnsi="宋体" w:hint="eastAsia"/>
          <w:sz w:val="24"/>
          <w:szCs w:val="24"/>
        </w:rPr>
      </w:pPr>
      <w:r w:rsidRPr="00AC6912">
        <w:rPr>
          <w:rFonts w:ascii="宋体" w:eastAsia="宋体" w:hAnsi="宋体" w:hint="eastAsia"/>
          <w:sz w:val="24"/>
          <w:szCs w:val="24"/>
        </w:rPr>
        <w:t>同济大学四平校区</w:t>
      </w:r>
    </w:p>
    <w:p w:rsidR="00AC6912" w:rsidRPr="00AC6912" w:rsidRDefault="00AC6912" w:rsidP="00AC6912">
      <w:pPr>
        <w:numPr>
          <w:ilvl w:val="0"/>
          <w:numId w:val="1"/>
        </w:numPr>
        <w:spacing w:line="360" w:lineRule="auto"/>
        <w:rPr>
          <w:rFonts w:ascii="宋体" w:eastAsia="宋体" w:hAnsi="宋体" w:hint="eastAsia"/>
          <w:sz w:val="24"/>
          <w:szCs w:val="24"/>
        </w:rPr>
      </w:pPr>
      <w:r w:rsidRPr="00AC6912">
        <w:rPr>
          <w:rFonts w:ascii="宋体" w:eastAsia="宋体" w:hAnsi="宋体" w:hint="eastAsia"/>
          <w:sz w:val="24"/>
          <w:szCs w:val="24"/>
        </w:rPr>
        <w:t>安亭新镇安亭汽车城轨道站点周边区域</w:t>
      </w:r>
    </w:p>
    <w:p w:rsidR="00AC6912" w:rsidRPr="00AC6912" w:rsidRDefault="00AC6912" w:rsidP="00AC6912">
      <w:pPr>
        <w:numPr>
          <w:ilvl w:val="0"/>
          <w:numId w:val="1"/>
        </w:numPr>
        <w:spacing w:line="360" w:lineRule="auto"/>
        <w:rPr>
          <w:rFonts w:ascii="宋体" w:eastAsia="宋体" w:hAnsi="宋体" w:hint="eastAsia"/>
          <w:sz w:val="24"/>
          <w:szCs w:val="24"/>
        </w:rPr>
      </w:pPr>
      <w:r w:rsidRPr="00AC6912">
        <w:rPr>
          <w:rFonts w:ascii="宋体" w:eastAsia="宋体" w:hAnsi="宋体" w:hint="eastAsia"/>
          <w:sz w:val="24"/>
          <w:szCs w:val="24"/>
        </w:rPr>
        <w:t>上海市静安寺CBD区域</w:t>
      </w:r>
    </w:p>
    <w:p w:rsidR="00AC6912" w:rsidRPr="00AC6912" w:rsidRDefault="00AC6912" w:rsidP="00AC6912">
      <w:pPr>
        <w:numPr>
          <w:ilvl w:val="0"/>
          <w:numId w:val="1"/>
        </w:numPr>
        <w:spacing w:line="360" w:lineRule="auto"/>
        <w:rPr>
          <w:rFonts w:ascii="宋体" w:eastAsia="宋体" w:hAnsi="宋体" w:hint="eastAsia"/>
          <w:sz w:val="24"/>
          <w:szCs w:val="24"/>
        </w:rPr>
      </w:pPr>
      <w:r w:rsidRPr="00AC6912">
        <w:rPr>
          <w:rFonts w:ascii="宋体" w:eastAsia="宋体" w:hAnsi="宋体"/>
          <w:sz w:val="24"/>
          <w:szCs w:val="24"/>
        </w:rPr>
        <w:t>衡山路—复兴路历史文化风貌区</w:t>
      </w:r>
    </w:p>
    <w:p w:rsidR="00AC6912" w:rsidRPr="00AC6912" w:rsidRDefault="00AC6912" w:rsidP="00AC6912">
      <w:pPr>
        <w:numPr>
          <w:ilvl w:val="0"/>
          <w:numId w:val="1"/>
        </w:numPr>
        <w:spacing w:line="360" w:lineRule="auto"/>
        <w:rPr>
          <w:rFonts w:ascii="宋体" w:eastAsia="宋体" w:hAnsi="宋体" w:hint="eastAsia"/>
          <w:sz w:val="24"/>
          <w:szCs w:val="24"/>
        </w:rPr>
      </w:pPr>
      <w:r w:rsidRPr="00AC6912">
        <w:rPr>
          <w:rFonts w:ascii="宋体" w:eastAsia="宋体" w:hAnsi="宋体" w:hint="eastAsia"/>
          <w:sz w:val="24"/>
          <w:szCs w:val="24"/>
        </w:rPr>
        <w:t>上海市世纪公园住宅社区</w:t>
      </w:r>
    </w:p>
    <w:p w:rsidR="00AC6912" w:rsidRPr="00AC6912" w:rsidRDefault="00AC6912" w:rsidP="00AC6912">
      <w:pPr>
        <w:spacing w:line="360" w:lineRule="auto"/>
        <w:rPr>
          <w:rFonts w:ascii="宋体" w:eastAsia="宋体" w:hAnsi="宋体"/>
          <w:sz w:val="24"/>
          <w:szCs w:val="24"/>
        </w:rPr>
      </w:pPr>
    </w:p>
    <w:p w:rsidR="00AC6912" w:rsidRPr="00AC6912" w:rsidRDefault="00AC6912" w:rsidP="00AC6912">
      <w:pPr>
        <w:spacing w:line="360" w:lineRule="auto"/>
        <w:rPr>
          <w:rFonts w:ascii="宋体" w:eastAsia="宋体" w:hAnsi="宋体"/>
          <w:b/>
          <w:bCs/>
          <w:sz w:val="24"/>
          <w:szCs w:val="24"/>
        </w:rPr>
      </w:pPr>
      <w:r w:rsidRPr="00AC6912">
        <w:rPr>
          <w:rFonts w:ascii="宋体" w:eastAsia="宋体" w:hAnsi="宋体" w:hint="eastAsia"/>
          <w:b/>
          <w:bCs/>
          <w:sz w:val="24"/>
          <w:szCs w:val="24"/>
        </w:rPr>
        <w:t>设计案例：</w:t>
      </w:r>
      <w:r w:rsidRPr="00AC6912">
        <w:rPr>
          <w:rFonts w:ascii="宋体" w:eastAsia="宋体" w:hAnsi="宋体"/>
          <w:b/>
          <w:bCs/>
          <w:sz w:val="24"/>
          <w:szCs w:val="24"/>
        </w:rPr>
        <w:t xml:space="preserve"> </w:t>
      </w:r>
    </w:p>
    <w:p w:rsidR="00AC6912" w:rsidRPr="00AC6912" w:rsidRDefault="00AC6912" w:rsidP="00AC6912">
      <w:pPr>
        <w:spacing w:line="360" w:lineRule="auto"/>
        <w:rPr>
          <w:rFonts w:ascii="宋体" w:eastAsia="宋体" w:hAnsi="宋体" w:hint="eastAsia"/>
          <w:sz w:val="24"/>
          <w:szCs w:val="24"/>
        </w:rPr>
      </w:pPr>
      <w:r w:rsidRPr="00AC6912">
        <w:rPr>
          <w:rFonts w:ascii="宋体" w:eastAsia="宋体" w:hAnsi="宋体"/>
          <w:sz w:val="24"/>
          <w:szCs w:val="24"/>
        </w:rPr>
        <w:t xml:space="preserve"> </w:t>
      </w:r>
      <w:r w:rsidRPr="00AC6912">
        <w:rPr>
          <w:rFonts w:ascii="宋体" w:eastAsia="宋体" w:hAnsi="宋体" w:hint="eastAsia"/>
          <w:sz w:val="24"/>
          <w:szCs w:val="24"/>
        </w:rPr>
        <w:t>此案例来自于</w:t>
      </w:r>
      <w:r w:rsidRPr="00AC6912">
        <w:rPr>
          <w:rFonts w:ascii="宋体" w:eastAsia="宋体" w:hAnsi="宋体"/>
          <w:sz w:val="24"/>
          <w:szCs w:val="24"/>
        </w:rPr>
        <w:t>东莞33号工业区改造设计中标方案</w:t>
      </w:r>
      <w:r w:rsidRPr="00AC6912">
        <w:rPr>
          <w:rFonts w:ascii="宋体" w:eastAsia="宋体" w:hAnsi="宋体" w:hint="eastAsia"/>
          <w:sz w:val="24"/>
          <w:szCs w:val="24"/>
        </w:rPr>
        <w:t>。</w:t>
      </w:r>
    </w:p>
    <w:p w:rsidR="00AC6912" w:rsidRPr="00AC6912" w:rsidRDefault="00AC6912" w:rsidP="00AC6912">
      <w:pPr>
        <w:spacing w:line="360" w:lineRule="auto"/>
        <w:rPr>
          <w:rFonts w:ascii="宋体" w:eastAsia="宋体" w:hAnsi="宋体"/>
          <w:sz w:val="24"/>
          <w:szCs w:val="24"/>
        </w:rPr>
      </w:pPr>
      <w:r w:rsidRPr="00AC6912">
        <w:rPr>
          <w:rFonts w:ascii="宋体" w:eastAsia="宋体" w:hAnsi="宋体"/>
          <w:sz w:val="24"/>
          <w:szCs w:val="24"/>
        </w:rPr>
        <w:lastRenderedPageBreak/>
        <w:drawing>
          <wp:inline distT="0" distB="0" distL="0" distR="0">
            <wp:extent cx="5212080" cy="3726180"/>
            <wp:effectExtent l="0" t="0" r="7620" b="7620"/>
            <wp:docPr id="6" name="图片 6" descr="001-33-art-district-_-reMIX_01-960x6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001-33-art-district-_-reMIX_01-960x686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2080" cy="3726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6912" w:rsidRPr="00AC6912" w:rsidRDefault="00AC6912" w:rsidP="00AC6912">
      <w:pPr>
        <w:spacing w:line="360" w:lineRule="auto"/>
        <w:jc w:val="center"/>
        <w:rPr>
          <w:rFonts w:ascii="宋体" w:eastAsia="宋体" w:hAnsi="宋体"/>
          <w:sz w:val="24"/>
          <w:szCs w:val="24"/>
        </w:rPr>
      </w:pPr>
      <w:r w:rsidRPr="00AC6912">
        <w:rPr>
          <w:rFonts w:ascii="宋体" w:eastAsia="宋体" w:hAnsi="宋体"/>
          <w:sz w:val="24"/>
          <w:szCs w:val="24"/>
        </w:rPr>
        <w:t>图</w:t>
      </w:r>
      <w:r w:rsidRPr="00AC6912">
        <w:rPr>
          <w:rFonts w:ascii="宋体" w:eastAsia="宋体" w:hAnsi="宋体" w:hint="eastAsia"/>
          <w:sz w:val="24"/>
          <w:szCs w:val="24"/>
        </w:rPr>
        <w:t xml:space="preserve">1 </w:t>
      </w:r>
      <w:r w:rsidRPr="00AC6912">
        <w:rPr>
          <w:rFonts w:ascii="宋体" w:eastAsia="宋体" w:hAnsi="宋体"/>
          <w:sz w:val="24"/>
          <w:szCs w:val="24"/>
        </w:rPr>
        <w:t>艺术小镇慢行交通鸟瞰</w:t>
      </w:r>
      <w:r w:rsidRPr="00AC6912">
        <w:rPr>
          <w:rFonts w:ascii="宋体" w:eastAsia="宋体" w:hAnsi="宋体" w:hint="eastAsia"/>
          <w:sz w:val="24"/>
          <w:szCs w:val="24"/>
        </w:rPr>
        <w:t>概念</w:t>
      </w:r>
      <w:r w:rsidRPr="00AC6912">
        <w:rPr>
          <w:rFonts w:ascii="宋体" w:eastAsia="宋体" w:hAnsi="宋体"/>
          <w:sz w:val="24"/>
          <w:szCs w:val="24"/>
        </w:rPr>
        <w:t>图</w:t>
      </w:r>
    </w:p>
    <w:p w:rsidR="00AC6912" w:rsidRPr="00AC6912" w:rsidRDefault="00AC6912" w:rsidP="00AC6912">
      <w:pPr>
        <w:spacing w:line="360" w:lineRule="auto"/>
        <w:rPr>
          <w:rFonts w:ascii="宋体" w:eastAsia="宋体" w:hAnsi="宋体"/>
          <w:sz w:val="24"/>
          <w:szCs w:val="24"/>
        </w:rPr>
      </w:pPr>
      <w:r w:rsidRPr="00AC6912">
        <w:rPr>
          <w:rFonts w:ascii="宋体" w:eastAsia="宋体" w:hAnsi="宋体"/>
          <w:sz w:val="24"/>
          <w:szCs w:val="24"/>
        </w:rPr>
        <w:drawing>
          <wp:inline distT="0" distB="0" distL="0" distR="0">
            <wp:extent cx="5273040" cy="3649980"/>
            <wp:effectExtent l="0" t="0" r="3810" b="7620"/>
            <wp:docPr id="5" name="图片 5" descr="006-33-art-district-_-reMIX_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006-33-art-district-_-reMIX_06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3649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6912" w:rsidRPr="00AC6912" w:rsidRDefault="00AC6912" w:rsidP="00AC6912">
      <w:pPr>
        <w:spacing w:line="360" w:lineRule="auto"/>
        <w:jc w:val="center"/>
        <w:rPr>
          <w:rFonts w:ascii="宋体" w:eastAsia="宋体" w:hAnsi="宋体"/>
          <w:sz w:val="24"/>
          <w:szCs w:val="24"/>
        </w:rPr>
      </w:pPr>
      <w:r w:rsidRPr="00AC6912">
        <w:rPr>
          <w:rFonts w:ascii="宋体" w:eastAsia="宋体" w:hAnsi="宋体" w:hint="eastAsia"/>
          <w:sz w:val="24"/>
          <w:szCs w:val="24"/>
        </w:rPr>
        <w:t>图2 绿色基础设施及步行系统总览</w:t>
      </w:r>
    </w:p>
    <w:p w:rsidR="00AC6912" w:rsidRPr="00AC6912" w:rsidRDefault="00AC6912" w:rsidP="00AC6912">
      <w:pPr>
        <w:spacing w:line="360" w:lineRule="auto"/>
        <w:ind w:firstLine="420"/>
        <w:rPr>
          <w:rFonts w:ascii="宋体" w:eastAsia="宋体" w:hAnsi="宋体" w:hint="eastAsia"/>
          <w:sz w:val="24"/>
          <w:szCs w:val="24"/>
        </w:rPr>
      </w:pPr>
      <w:r w:rsidRPr="00AC6912">
        <w:rPr>
          <w:rFonts w:ascii="宋体" w:eastAsia="宋体" w:hAnsi="宋体"/>
          <w:sz w:val="24"/>
          <w:szCs w:val="24"/>
        </w:rPr>
        <w:t>步行圈将一系列日常生活商铺（咖啡厅，健身房，便利店等）联系起来，形成了一个1公里的生活方式圈。其联通原本被建筑体量打断的各个小广场</w:t>
      </w:r>
      <w:r w:rsidRPr="00AC6912">
        <w:rPr>
          <w:rFonts w:ascii="宋体" w:eastAsia="宋体" w:hAnsi="宋体" w:hint="eastAsia"/>
          <w:sz w:val="24"/>
          <w:szCs w:val="24"/>
        </w:rPr>
        <w:t>，因而</w:t>
      </w:r>
      <w:r w:rsidRPr="00AC6912">
        <w:rPr>
          <w:rFonts w:ascii="宋体" w:eastAsia="宋体" w:hAnsi="宋体"/>
          <w:sz w:val="24"/>
          <w:szCs w:val="24"/>
        </w:rPr>
        <w:lastRenderedPageBreak/>
        <w:t>提供了更加连贯通畅的步行体验。</w:t>
      </w:r>
    </w:p>
    <w:p w:rsidR="00AC6912" w:rsidRPr="00AC6912" w:rsidRDefault="00AC6912" w:rsidP="00AC6912">
      <w:pPr>
        <w:spacing w:line="360" w:lineRule="auto"/>
        <w:rPr>
          <w:rFonts w:ascii="宋体" w:eastAsia="宋体" w:hAnsi="宋体"/>
          <w:sz w:val="24"/>
          <w:szCs w:val="24"/>
        </w:rPr>
      </w:pPr>
      <w:r w:rsidRPr="00AC6912">
        <w:rPr>
          <w:rFonts w:ascii="宋体" w:eastAsia="宋体" w:hAnsi="宋体"/>
          <w:sz w:val="24"/>
          <w:szCs w:val="24"/>
        </w:rPr>
        <w:drawing>
          <wp:inline distT="0" distB="0" distL="0" distR="0">
            <wp:extent cx="5265420" cy="3619500"/>
            <wp:effectExtent l="0" t="0" r="0" b="0"/>
            <wp:docPr id="4" name="图片 4" descr="1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111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420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6912" w:rsidRPr="00AC6912" w:rsidRDefault="00AC6912" w:rsidP="00AC6912">
      <w:pPr>
        <w:spacing w:line="360" w:lineRule="auto"/>
        <w:jc w:val="center"/>
        <w:rPr>
          <w:rFonts w:ascii="宋体" w:eastAsia="宋体" w:hAnsi="宋体"/>
          <w:sz w:val="24"/>
          <w:szCs w:val="24"/>
        </w:rPr>
      </w:pPr>
      <w:r w:rsidRPr="00AC6912">
        <w:rPr>
          <w:rFonts w:ascii="宋体" w:eastAsia="宋体" w:hAnsi="宋体" w:hint="eastAsia"/>
          <w:sz w:val="24"/>
          <w:szCs w:val="24"/>
        </w:rPr>
        <w:t>图3 慢行交通系统总览</w:t>
      </w:r>
    </w:p>
    <w:p w:rsidR="00AC6912" w:rsidRPr="00AC6912" w:rsidRDefault="00AC6912" w:rsidP="00AC6912">
      <w:pPr>
        <w:spacing w:line="360" w:lineRule="auto"/>
        <w:ind w:firstLine="420"/>
        <w:rPr>
          <w:rFonts w:ascii="宋体" w:eastAsia="宋体" w:hAnsi="宋体"/>
          <w:sz w:val="24"/>
          <w:szCs w:val="24"/>
        </w:rPr>
      </w:pPr>
      <w:r w:rsidRPr="00AC6912">
        <w:rPr>
          <w:rFonts w:ascii="宋体" w:eastAsia="宋体" w:hAnsi="宋体"/>
          <w:sz w:val="24"/>
          <w:szCs w:val="24"/>
        </w:rPr>
        <w:t>斜穿整个园区的架空布道则是一个多层次的步行公共空间网络，将一系列露天剧场、休息区等场所串联在一起，意在为促进跨学科领域的合作和交流创造环境。</w:t>
      </w:r>
    </w:p>
    <w:p w:rsidR="00AC6912" w:rsidRPr="00AC6912" w:rsidRDefault="00AC6912" w:rsidP="00AC6912">
      <w:pPr>
        <w:spacing w:line="360" w:lineRule="auto"/>
        <w:ind w:firstLine="420"/>
        <w:rPr>
          <w:rFonts w:ascii="宋体" w:eastAsia="宋体" w:hAnsi="宋体" w:hint="eastAsia"/>
          <w:sz w:val="24"/>
          <w:szCs w:val="24"/>
        </w:rPr>
      </w:pPr>
      <w:r w:rsidRPr="00AC6912">
        <w:rPr>
          <w:rFonts w:ascii="宋体" w:eastAsia="宋体" w:hAnsi="宋体"/>
          <w:sz w:val="24"/>
          <w:szCs w:val="24"/>
        </w:rPr>
        <w:t>它同时激活了二层的商业界面，并指向位于西南侧公园的观景塔和公园丛林步道。此外，为提供更为步行友善的街景环境，贯穿场地南北四车道的主路被转化为双车道的慢速轴线。蜿蜒的车道与步行铺地、自行车道、停车、生物廊道交织在一起， 形成更为丰富有活力的</w:t>
      </w:r>
      <w:bookmarkStart w:id="0" w:name="_GoBack"/>
      <w:bookmarkEnd w:id="0"/>
      <w:r w:rsidRPr="00AC6912">
        <w:rPr>
          <w:rFonts w:ascii="宋体" w:eastAsia="宋体" w:hAnsi="宋体"/>
          <w:sz w:val="24"/>
          <w:szCs w:val="24"/>
        </w:rPr>
        <w:t>步行体验街区。</w:t>
      </w:r>
    </w:p>
    <w:p w:rsidR="00AC6912" w:rsidRPr="00AC6912" w:rsidRDefault="00AC6912" w:rsidP="00AC6912">
      <w:pPr>
        <w:spacing w:line="360" w:lineRule="auto"/>
        <w:rPr>
          <w:rFonts w:ascii="宋体" w:eastAsia="宋体" w:hAnsi="宋体"/>
          <w:sz w:val="24"/>
          <w:szCs w:val="24"/>
        </w:rPr>
      </w:pPr>
      <w:r w:rsidRPr="00AC6912">
        <w:rPr>
          <w:rFonts w:ascii="宋体" w:eastAsia="宋体" w:hAnsi="宋体"/>
          <w:sz w:val="24"/>
          <w:szCs w:val="24"/>
        </w:rPr>
        <w:lastRenderedPageBreak/>
        <w:drawing>
          <wp:inline distT="0" distB="0" distL="0" distR="0">
            <wp:extent cx="5273040" cy="3665220"/>
            <wp:effectExtent l="0" t="0" r="3810" b="0"/>
            <wp:docPr id="3" name="图片 3" descr="013-33-art-district-_-reMIX_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013-33-art-district-_-reMIX_1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3665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6912" w:rsidRPr="00AC6912" w:rsidRDefault="00AC6912" w:rsidP="00AC6912">
      <w:pPr>
        <w:spacing w:line="360" w:lineRule="auto"/>
        <w:jc w:val="center"/>
        <w:rPr>
          <w:rFonts w:ascii="宋体" w:eastAsia="宋体" w:hAnsi="宋体"/>
          <w:sz w:val="24"/>
          <w:szCs w:val="24"/>
        </w:rPr>
      </w:pPr>
      <w:r w:rsidRPr="00AC6912">
        <w:rPr>
          <w:rFonts w:ascii="宋体" w:eastAsia="宋体" w:hAnsi="宋体"/>
          <w:sz w:val="24"/>
          <w:szCs w:val="24"/>
        </w:rPr>
        <w:t>图</w:t>
      </w:r>
      <w:r w:rsidRPr="00AC6912">
        <w:rPr>
          <w:rFonts w:ascii="宋体" w:eastAsia="宋体" w:hAnsi="宋体" w:hint="eastAsia"/>
          <w:sz w:val="24"/>
          <w:szCs w:val="24"/>
        </w:rPr>
        <w:t xml:space="preserve">4 </w:t>
      </w:r>
      <w:r w:rsidRPr="00AC6912">
        <w:rPr>
          <w:rFonts w:ascii="宋体" w:eastAsia="宋体" w:hAnsi="宋体"/>
          <w:sz w:val="24"/>
          <w:szCs w:val="24"/>
        </w:rPr>
        <w:t>慢行交通环境配套</w:t>
      </w:r>
    </w:p>
    <w:p w:rsidR="00AC6912" w:rsidRPr="00AC6912" w:rsidRDefault="00AC6912" w:rsidP="00AC6912">
      <w:pPr>
        <w:spacing w:line="360" w:lineRule="auto"/>
        <w:rPr>
          <w:rFonts w:ascii="宋体" w:eastAsia="宋体" w:hAnsi="宋体"/>
          <w:sz w:val="24"/>
          <w:szCs w:val="24"/>
        </w:rPr>
      </w:pPr>
      <w:r w:rsidRPr="00AC6912">
        <w:rPr>
          <w:rFonts w:ascii="宋体" w:eastAsia="宋体" w:hAnsi="宋体" w:hint="eastAsia"/>
          <w:sz w:val="24"/>
          <w:szCs w:val="24"/>
        </w:rPr>
        <w:drawing>
          <wp:inline distT="0" distB="0" distL="0" distR="0">
            <wp:extent cx="5265420" cy="2781300"/>
            <wp:effectExtent l="0" t="0" r="0" b="0"/>
            <wp:docPr id="2" name="图片 2" descr="13123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131231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420" cy="278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6912" w:rsidRPr="00AC6912" w:rsidRDefault="00AC6912" w:rsidP="00AC6912">
      <w:pPr>
        <w:spacing w:line="360" w:lineRule="auto"/>
        <w:jc w:val="center"/>
        <w:rPr>
          <w:rFonts w:ascii="宋体" w:eastAsia="宋体" w:hAnsi="宋体"/>
          <w:sz w:val="24"/>
          <w:szCs w:val="24"/>
        </w:rPr>
      </w:pPr>
      <w:r w:rsidRPr="00AC6912">
        <w:rPr>
          <w:rFonts w:ascii="宋体" w:eastAsia="宋体" w:hAnsi="宋体"/>
          <w:sz w:val="24"/>
          <w:szCs w:val="24"/>
        </w:rPr>
        <w:t>图</w:t>
      </w:r>
      <w:r w:rsidRPr="00AC6912">
        <w:rPr>
          <w:rFonts w:ascii="宋体" w:eastAsia="宋体" w:hAnsi="宋体" w:hint="eastAsia"/>
          <w:sz w:val="24"/>
          <w:szCs w:val="24"/>
        </w:rPr>
        <w:t xml:space="preserve">5 </w:t>
      </w:r>
      <w:r w:rsidRPr="00AC6912">
        <w:rPr>
          <w:rFonts w:ascii="宋体" w:eastAsia="宋体" w:hAnsi="宋体"/>
          <w:sz w:val="24"/>
          <w:szCs w:val="24"/>
        </w:rPr>
        <w:t>慢行步道设计</w:t>
      </w:r>
      <w:r w:rsidRPr="00AC6912">
        <w:rPr>
          <w:rFonts w:ascii="宋体" w:eastAsia="宋体" w:hAnsi="宋体" w:hint="eastAsia"/>
          <w:sz w:val="24"/>
          <w:szCs w:val="24"/>
        </w:rPr>
        <w:t>概念图</w:t>
      </w:r>
    </w:p>
    <w:p w:rsidR="00AC6912" w:rsidRPr="00AC6912" w:rsidRDefault="00AC6912" w:rsidP="00AC6912">
      <w:pPr>
        <w:spacing w:line="360" w:lineRule="auto"/>
        <w:rPr>
          <w:rFonts w:ascii="宋体" w:eastAsia="宋体" w:hAnsi="宋体"/>
          <w:sz w:val="24"/>
          <w:szCs w:val="24"/>
        </w:rPr>
      </w:pPr>
      <w:r w:rsidRPr="00AC6912">
        <w:rPr>
          <w:rFonts w:ascii="宋体" w:eastAsia="宋体" w:hAnsi="宋体"/>
          <w:sz w:val="24"/>
          <w:szCs w:val="24"/>
        </w:rPr>
        <w:lastRenderedPageBreak/>
        <w:drawing>
          <wp:inline distT="0" distB="0" distL="0" distR="0">
            <wp:extent cx="5265420" cy="3764280"/>
            <wp:effectExtent l="0" t="0" r="0" b="7620"/>
            <wp:docPr id="1" name="图片 1" descr="123123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1231232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420" cy="3764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6912" w:rsidRPr="00AC6912" w:rsidRDefault="00AC6912" w:rsidP="00AC6912">
      <w:pPr>
        <w:spacing w:line="360" w:lineRule="auto"/>
        <w:jc w:val="center"/>
        <w:rPr>
          <w:rFonts w:ascii="宋体" w:eastAsia="宋体" w:hAnsi="宋体" w:hint="eastAsia"/>
          <w:sz w:val="24"/>
          <w:szCs w:val="24"/>
        </w:rPr>
      </w:pPr>
      <w:r w:rsidRPr="00AC6912">
        <w:rPr>
          <w:rFonts w:ascii="宋体" w:eastAsia="宋体" w:hAnsi="宋体"/>
          <w:sz w:val="24"/>
          <w:szCs w:val="24"/>
        </w:rPr>
        <w:t>图</w:t>
      </w:r>
      <w:r w:rsidRPr="00AC6912">
        <w:rPr>
          <w:rFonts w:ascii="宋体" w:eastAsia="宋体" w:hAnsi="宋体" w:hint="eastAsia"/>
          <w:sz w:val="24"/>
          <w:szCs w:val="24"/>
        </w:rPr>
        <w:t xml:space="preserve">6 </w:t>
      </w:r>
      <w:r w:rsidRPr="00AC6912">
        <w:rPr>
          <w:rFonts w:ascii="宋体" w:eastAsia="宋体" w:hAnsi="宋体"/>
          <w:sz w:val="24"/>
          <w:szCs w:val="24"/>
        </w:rPr>
        <w:t>空中步道设计</w:t>
      </w:r>
      <w:r w:rsidRPr="00AC6912">
        <w:rPr>
          <w:rFonts w:ascii="宋体" w:eastAsia="宋体" w:hAnsi="宋体" w:hint="eastAsia"/>
          <w:sz w:val="24"/>
          <w:szCs w:val="24"/>
        </w:rPr>
        <w:t>概念图</w:t>
      </w:r>
    </w:p>
    <w:p w:rsidR="00AC6912" w:rsidRPr="00AC6912" w:rsidRDefault="00AC6912" w:rsidP="00AC6912">
      <w:pPr>
        <w:spacing w:line="360" w:lineRule="auto"/>
        <w:rPr>
          <w:rFonts w:ascii="宋体" w:eastAsia="宋体" w:hAnsi="宋体" w:hint="eastAsia"/>
          <w:sz w:val="24"/>
          <w:szCs w:val="24"/>
        </w:rPr>
      </w:pPr>
    </w:p>
    <w:p w:rsidR="00DC096D" w:rsidRPr="00AC6912" w:rsidRDefault="00DC096D" w:rsidP="00AC6912">
      <w:pPr>
        <w:spacing w:line="360" w:lineRule="auto"/>
        <w:rPr>
          <w:rFonts w:ascii="宋体" w:eastAsia="宋体" w:hAnsi="宋体"/>
          <w:sz w:val="24"/>
          <w:szCs w:val="24"/>
        </w:rPr>
      </w:pPr>
    </w:p>
    <w:sectPr w:rsidR="00DC096D" w:rsidRPr="00AC691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3614609"/>
    <w:multiLevelType w:val="hybridMultilevel"/>
    <w:tmpl w:val="9E7460C8"/>
    <w:lvl w:ilvl="0" w:tplc="8BEED032">
      <w:start w:val="1"/>
      <w:numFmt w:val="decimal"/>
      <w:lvlText w:val="（%1）"/>
      <w:lvlJc w:val="left"/>
      <w:pPr>
        <w:ind w:left="120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C6912"/>
    <w:rsid w:val="00AC6912"/>
    <w:rsid w:val="00DC09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37D4228"/>
  <w15:chartTrackingRefBased/>
  <w15:docId w15:val="{914C0561-72BF-44C4-93AD-AA89921672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5</Pages>
  <Words>151</Words>
  <Characters>863</Characters>
  <Application>Microsoft Office Word</Application>
  <DocSecurity>0</DocSecurity>
  <Lines>7</Lines>
  <Paragraphs>2</Paragraphs>
  <ScaleCrop>false</ScaleCrop>
  <Company/>
  <LinksUpToDate>false</LinksUpToDate>
  <CharactersWithSpaces>1012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Jeremy Ye</dc:creator>
  <cp:keywords/>
  <dc:description/>
  <cp:lastModifiedBy>Jeremy Ye</cp:lastModifiedBy>
  <cp:revision>1</cp:revision>
  <dcterms:created xsi:type="dcterms:W3CDTF">2016-10-13T03:51:00Z</dcterms:created>
  <dcterms:modified xsi:type="dcterms:W3CDTF">2016-10-13T03:54:00Z</dcterms:modified>
</cp:coreProperties>
</file>