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B5BF2" w14:textId="77777777" w:rsidR="00836C68" w:rsidRDefault="00836C68" w:rsidP="00836C68">
      <w:pPr>
        <w:pStyle w:val="1"/>
        <w:jc w:val="center"/>
        <w:rPr>
          <w:rFonts w:hint="eastAsia"/>
        </w:rPr>
      </w:pPr>
      <w:r>
        <w:rPr>
          <w:rFonts w:hint="eastAsia"/>
        </w:rPr>
        <w:t>“</w:t>
      </w:r>
      <w:r w:rsidRPr="008026CF">
        <w:rPr>
          <w:rFonts w:hint="eastAsia"/>
        </w:rPr>
        <w:t>交通设计大赛</w:t>
      </w:r>
      <w:r>
        <w:rPr>
          <w:rFonts w:hint="eastAsia"/>
        </w:rPr>
        <w:t>”题目解析</w:t>
      </w:r>
    </w:p>
    <w:p w14:paraId="39632A5B" w14:textId="77777777" w:rsidR="00836C68" w:rsidRDefault="00836C68" w:rsidP="00836C68">
      <w:pPr>
        <w:pStyle w:val="2"/>
        <w:rPr>
          <w:rFonts w:hint="eastAsia"/>
          <w:sz w:val="28"/>
        </w:rPr>
      </w:pPr>
      <w:r w:rsidRPr="00B5080F">
        <w:rPr>
          <w:rFonts w:hint="eastAsia"/>
          <w:sz w:val="28"/>
        </w:rPr>
        <w:t>大赛题目</w:t>
      </w:r>
      <w:r>
        <w:rPr>
          <w:rFonts w:hint="eastAsia"/>
          <w:sz w:val="28"/>
        </w:rPr>
        <w:t>：</w:t>
      </w:r>
      <w:r w:rsidRPr="009E6230">
        <w:rPr>
          <w:rFonts w:hint="eastAsia"/>
          <w:sz w:val="28"/>
        </w:rPr>
        <w:t>自动驾驶环境下道路交通系统设计</w:t>
      </w:r>
    </w:p>
    <w:p w14:paraId="2C5CBDED" w14:textId="77777777" w:rsidR="00836C68" w:rsidRPr="00B5080F" w:rsidRDefault="00836C68" w:rsidP="00836C68">
      <w:pPr>
        <w:pStyle w:val="2"/>
        <w:rPr>
          <w:rFonts w:ascii="宋体" w:hAnsi="宋体" w:cs="宋体" w:hint="eastAsia"/>
          <w:color w:val="000000"/>
          <w:kern w:val="0"/>
          <w:sz w:val="28"/>
        </w:rPr>
      </w:pPr>
      <w:r w:rsidRPr="00B5080F">
        <w:rPr>
          <w:rFonts w:hint="eastAsia"/>
          <w:sz w:val="28"/>
        </w:rPr>
        <w:t>课题</w:t>
      </w:r>
      <w:r>
        <w:rPr>
          <w:rFonts w:hint="eastAsia"/>
          <w:sz w:val="28"/>
        </w:rPr>
        <w:t>简介</w:t>
      </w:r>
    </w:p>
    <w:p w14:paraId="7CEEF0E8" w14:textId="77777777" w:rsidR="00836C68" w:rsidRPr="00626105" w:rsidRDefault="00836C68" w:rsidP="00836C68">
      <w:pPr>
        <w:widowControl/>
        <w:spacing w:line="360" w:lineRule="auto"/>
        <w:ind w:firstLineChars="200" w:firstLine="420"/>
        <w:rPr>
          <w:rFonts w:ascii="宋体" w:hAnsi="宋体" w:cs="宋体" w:hint="eastAsia"/>
          <w:color w:val="000000"/>
          <w:kern w:val="0"/>
          <w:sz w:val="24"/>
          <w:szCs w:val="24"/>
        </w:rPr>
      </w:pPr>
      <w:r>
        <w:rPr>
          <w:rFonts w:hint="eastAsia"/>
        </w:rPr>
        <w:t>人</w:t>
      </w:r>
      <w:r w:rsidRPr="009E6230">
        <w:rPr>
          <w:rFonts w:ascii="宋体" w:hAnsi="宋体" w:cs="宋体" w:hint="eastAsia"/>
          <w:color w:val="000000"/>
          <w:kern w:val="0"/>
          <w:sz w:val="24"/>
          <w:szCs w:val="24"/>
        </w:rPr>
        <w:t>工智能研究的爆发驱动自动驾驶技术的发展日益走向现实生活，</w:t>
      </w:r>
      <w:r>
        <w:rPr>
          <w:sz w:val="23"/>
          <w:szCs w:val="23"/>
        </w:rPr>
        <w:t>以自动驾驶等为代表的新科技、安全环保可持续等发展理念的更新、消费者偏</w:t>
      </w:r>
      <w:r w:rsidRPr="00626105">
        <w:rPr>
          <w:rFonts w:ascii="宋体" w:hAnsi="宋体" w:cs="宋体"/>
          <w:color w:val="000000"/>
          <w:kern w:val="0"/>
          <w:sz w:val="24"/>
          <w:szCs w:val="24"/>
        </w:rPr>
        <w:t>好的变化、新兴市场的发展等四大趋势将带来汽车和交通行业的重大变革。可以预见</w:t>
      </w:r>
      <w:r>
        <w:rPr>
          <w:rFonts w:ascii="宋体" w:hAnsi="宋体" w:cs="宋体" w:hint="eastAsia"/>
          <w:color w:val="000000"/>
          <w:kern w:val="0"/>
          <w:sz w:val="24"/>
          <w:szCs w:val="24"/>
        </w:rPr>
        <w:t>，</w:t>
      </w:r>
      <w:r w:rsidRPr="00626105">
        <w:rPr>
          <w:rFonts w:ascii="宋体" w:hAnsi="宋体" w:cs="宋体"/>
          <w:color w:val="000000"/>
          <w:kern w:val="0"/>
          <w:sz w:val="24"/>
          <w:szCs w:val="24"/>
        </w:rPr>
        <w:t>2030年的交通模式将呈现完全不同的发展形态。</w:t>
      </w:r>
    </w:p>
    <w:p w14:paraId="759CDCE1"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与人工驾驶车辆相比，自动驾驶车辆的信息获取、处理、决策等过程已发生较大变化，随之引起单车运动特性、车-车跟随和超车特性、车辆规避障碍物和行人等的规则均发生改变，这就要求面向自动驾驶的道路交通设计目标和内涵相应变化，需要重新布置道路横断面，处理自动驾驶车辆与非机动车、行人的交通冲突，构筑自动驾驶与常规车辆混合通行的道路场景，同时自动驾驶技术发展的不确定性也会对交通设施的设计提出弹性化和包容性要求。</w:t>
      </w:r>
    </w:p>
    <w:p w14:paraId="1DD29375"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本</w:t>
      </w:r>
      <w:r>
        <w:rPr>
          <w:rFonts w:ascii="宋体" w:hAnsi="宋体" w:cs="宋体"/>
          <w:color w:val="000000"/>
          <w:kern w:val="0"/>
          <w:sz w:val="24"/>
          <w:szCs w:val="24"/>
        </w:rPr>
        <w:t>课题</w:t>
      </w:r>
      <w:r>
        <w:rPr>
          <w:rFonts w:ascii="宋体" w:hAnsi="宋体" w:cs="宋体" w:hint="eastAsia"/>
          <w:color w:val="000000"/>
          <w:kern w:val="0"/>
          <w:sz w:val="24"/>
          <w:szCs w:val="24"/>
        </w:rPr>
        <w:t>包含道路交通</w:t>
      </w:r>
      <w:r>
        <w:rPr>
          <w:rFonts w:ascii="宋体" w:hAnsi="宋体" w:cs="宋体"/>
          <w:color w:val="000000"/>
          <w:kern w:val="0"/>
          <w:sz w:val="24"/>
          <w:szCs w:val="24"/>
        </w:rPr>
        <w:t>系统</w:t>
      </w:r>
      <w:r>
        <w:rPr>
          <w:rFonts w:ascii="宋体" w:hAnsi="宋体" w:cs="宋体" w:hint="eastAsia"/>
          <w:color w:val="000000"/>
          <w:kern w:val="0"/>
          <w:sz w:val="24"/>
          <w:szCs w:val="24"/>
        </w:rPr>
        <w:t>设计</w:t>
      </w:r>
      <w:r w:rsidRPr="00626105">
        <w:rPr>
          <w:rFonts w:ascii="宋体" w:hAnsi="宋体" w:cs="宋体"/>
          <w:color w:val="000000"/>
          <w:kern w:val="0"/>
          <w:sz w:val="24"/>
          <w:szCs w:val="24"/>
        </w:rPr>
        <w:t>、</w:t>
      </w:r>
      <w:r>
        <w:rPr>
          <w:rFonts w:ascii="宋体" w:hAnsi="宋体" w:cs="宋体" w:hint="eastAsia"/>
          <w:color w:val="000000"/>
          <w:kern w:val="0"/>
          <w:sz w:val="24"/>
          <w:szCs w:val="24"/>
        </w:rPr>
        <w:t>交通标志</w:t>
      </w:r>
      <w:r>
        <w:rPr>
          <w:rFonts w:ascii="宋体" w:hAnsi="宋体" w:cs="宋体"/>
          <w:color w:val="000000"/>
          <w:kern w:val="0"/>
          <w:sz w:val="24"/>
          <w:szCs w:val="24"/>
        </w:rPr>
        <w:t>标线及设施</w:t>
      </w:r>
      <w:r w:rsidRPr="00626105">
        <w:rPr>
          <w:rFonts w:ascii="宋体" w:hAnsi="宋体" w:cs="宋体"/>
          <w:color w:val="000000"/>
          <w:kern w:val="0"/>
          <w:sz w:val="24"/>
          <w:szCs w:val="24"/>
        </w:rPr>
        <w:t>系统设计</w:t>
      </w:r>
      <w:r>
        <w:rPr>
          <w:rFonts w:ascii="宋体" w:hAnsi="宋体" w:cs="宋体" w:hint="eastAsia"/>
          <w:color w:val="000000"/>
          <w:kern w:val="0"/>
          <w:sz w:val="24"/>
          <w:szCs w:val="24"/>
        </w:rPr>
        <w:t>两部分</w:t>
      </w:r>
      <w:r w:rsidRPr="00626105">
        <w:rPr>
          <w:rFonts w:ascii="宋体" w:hAnsi="宋体" w:cs="宋体"/>
          <w:color w:val="000000"/>
          <w:kern w:val="0"/>
          <w:sz w:val="24"/>
          <w:szCs w:val="24"/>
        </w:rPr>
        <w:t>内容。</w:t>
      </w:r>
    </w:p>
    <w:p w14:paraId="326FC2C0"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1</w:t>
      </w:r>
      <w:r w:rsidRPr="00626105">
        <w:rPr>
          <w:rFonts w:ascii="宋体" w:hAnsi="宋体" w:cs="宋体"/>
          <w:color w:val="000000"/>
          <w:kern w:val="0"/>
          <w:sz w:val="24"/>
          <w:szCs w:val="24"/>
        </w:rPr>
        <w:t xml:space="preserve"> 道路系统设计</w:t>
      </w:r>
    </w:p>
    <w:p w14:paraId="048F1206"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道路</w:t>
      </w:r>
      <w:r>
        <w:rPr>
          <w:rFonts w:ascii="宋体" w:hAnsi="宋体" w:cs="宋体"/>
          <w:color w:val="000000"/>
          <w:kern w:val="0"/>
          <w:sz w:val="24"/>
          <w:szCs w:val="24"/>
        </w:rPr>
        <w:t>系统设计包括</w:t>
      </w:r>
      <w:r w:rsidRPr="00626105">
        <w:rPr>
          <w:rFonts w:ascii="宋体" w:hAnsi="宋体" w:cs="宋体"/>
          <w:color w:val="000000"/>
          <w:kern w:val="0"/>
          <w:sz w:val="24"/>
          <w:szCs w:val="24"/>
        </w:rPr>
        <w:t>道路横断面设计、交叉口交通设计、道路沿线进出交通设计以及路边停候区设计。不同功能道路所服务的交通对象不同，其设施设计和渠化设计存在明显差异。</w:t>
      </w:r>
    </w:p>
    <w:p w14:paraId="7FB33496"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（1）道路横断面设计</w:t>
      </w:r>
    </w:p>
    <w:p w14:paraId="18F5587A"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道路横断面设计主要以混合交通流为对象，满足通行能力和安全的要求，合理地分配机动车、非机动车、行人等的通行空间及其相关设施空间。</w:t>
      </w:r>
    </w:p>
    <w:p w14:paraId="17500F13"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（2）交叉口交通设计</w:t>
      </w:r>
    </w:p>
    <w:p w14:paraId="755EFBB4"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通过路段和交叉口进口道、进口道和出口道、出口道和路段通行能力的有效匹配设计，以及进出口道和交叉口内部各类交通流渠化设计，在实现通行安全和有序的前提下，以达到交叉口通行效率的最大化。面向</w:t>
      </w:r>
      <w:r>
        <w:rPr>
          <w:rFonts w:ascii="宋体" w:hAnsi="宋体" w:cs="宋体" w:hint="eastAsia"/>
          <w:color w:val="000000"/>
          <w:kern w:val="0"/>
          <w:sz w:val="24"/>
          <w:szCs w:val="24"/>
        </w:rPr>
        <w:t>自动</w:t>
      </w:r>
      <w:r w:rsidRPr="00626105">
        <w:rPr>
          <w:rFonts w:ascii="宋体" w:hAnsi="宋体" w:cs="宋体"/>
          <w:color w:val="000000"/>
          <w:kern w:val="0"/>
          <w:sz w:val="24"/>
          <w:szCs w:val="24"/>
        </w:rPr>
        <w:t>驾驶的交通设计要对交叉口</w:t>
      </w:r>
      <w:proofErr w:type="gramStart"/>
      <w:r w:rsidRPr="00626105">
        <w:rPr>
          <w:rFonts w:ascii="宋体" w:hAnsi="宋体" w:cs="宋体"/>
          <w:color w:val="000000"/>
          <w:kern w:val="0"/>
          <w:sz w:val="24"/>
          <w:szCs w:val="24"/>
        </w:rPr>
        <w:t>处空间</w:t>
      </w:r>
      <w:proofErr w:type="gramEnd"/>
      <w:r w:rsidRPr="00626105">
        <w:rPr>
          <w:rFonts w:ascii="宋体" w:hAnsi="宋体" w:cs="宋体"/>
          <w:color w:val="000000"/>
          <w:kern w:val="0"/>
          <w:sz w:val="24"/>
          <w:szCs w:val="24"/>
        </w:rPr>
        <w:t>资源在自动驾驶车辆和常规机动车的分配进行合理论证和考虑。</w:t>
      </w:r>
    </w:p>
    <w:p w14:paraId="57EB243F"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lastRenderedPageBreak/>
        <w:t>（3）道路沿线进出交通设计</w:t>
      </w:r>
    </w:p>
    <w:p w14:paraId="72DA6877" w14:textId="77777777" w:rsidR="00836C68" w:rsidRDefault="00836C68" w:rsidP="00836C68">
      <w:pPr>
        <w:widowControl/>
        <w:spacing w:line="360" w:lineRule="auto"/>
        <w:ind w:firstLineChars="200" w:firstLine="480"/>
        <w:rPr>
          <w:rFonts w:ascii="宋体" w:hAnsi="宋体" w:cs="宋体" w:hint="eastAsia"/>
          <w:color w:val="000000"/>
          <w:kern w:val="0"/>
          <w:sz w:val="24"/>
          <w:szCs w:val="24"/>
        </w:rPr>
      </w:pPr>
      <w:r w:rsidRPr="00626105">
        <w:rPr>
          <w:rFonts w:ascii="宋体" w:hAnsi="宋体" w:cs="宋体"/>
          <w:color w:val="000000"/>
          <w:kern w:val="0"/>
          <w:sz w:val="24"/>
          <w:szCs w:val="24"/>
        </w:rPr>
        <w:t>以进出交通、主路交通和绕行交通三者综合效益最优为目标，对沿线进出交通设施布局、流线渠化等进行优化。</w:t>
      </w:r>
    </w:p>
    <w:p w14:paraId="3FE6866E"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（4）路边停候区设计</w:t>
      </w:r>
    </w:p>
    <w:p w14:paraId="09C004B4" w14:textId="77777777" w:rsidR="00836C68" w:rsidRPr="00626105" w:rsidRDefault="00836C68" w:rsidP="00836C68">
      <w:pPr>
        <w:widowControl/>
        <w:spacing w:line="360" w:lineRule="auto"/>
        <w:ind w:firstLineChars="200" w:firstLine="480"/>
        <w:rPr>
          <w:rFonts w:ascii="宋体" w:hAnsi="宋体" w:cs="宋体"/>
          <w:color w:val="000000"/>
          <w:kern w:val="0"/>
          <w:sz w:val="24"/>
          <w:szCs w:val="24"/>
        </w:rPr>
      </w:pPr>
      <w:r w:rsidRPr="00626105">
        <w:rPr>
          <w:rFonts w:ascii="宋体" w:hAnsi="宋体" w:cs="宋体"/>
          <w:color w:val="000000"/>
          <w:kern w:val="0"/>
          <w:sz w:val="24"/>
          <w:szCs w:val="24"/>
        </w:rPr>
        <w:t>路边停候区包括上下客区、卸货区以及公交停靠站等。</w:t>
      </w:r>
    </w:p>
    <w:p w14:paraId="26811F98" w14:textId="77777777" w:rsidR="00836C68" w:rsidRPr="00D17CD7" w:rsidRDefault="00836C68" w:rsidP="00836C68">
      <w:pPr>
        <w:widowControl/>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2</w:t>
      </w:r>
      <w:r w:rsidRPr="00D17CD7">
        <w:rPr>
          <w:rFonts w:ascii="宋体" w:hAnsi="宋体" w:cs="宋体"/>
          <w:color w:val="000000"/>
          <w:kern w:val="0"/>
          <w:sz w:val="24"/>
          <w:szCs w:val="24"/>
        </w:rPr>
        <w:t xml:space="preserve"> 面向自动驾驶汽车</w:t>
      </w:r>
      <w:r>
        <w:rPr>
          <w:rFonts w:ascii="宋体" w:hAnsi="宋体" w:cs="宋体"/>
          <w:color w:val="000000"/>
          <w:kern w:val="0"/>
          <w:sz w:val="24"/>
          <w:szCs w:val="24"/>
        </w:rPr>
        <w:t>的</w:t>
      </w:r>
      <w:r>
        <w:rPr>
          <w:rFonts w:ascii="宋体" w:hAnsi="宋体" w:cs="宋体" w:hint="eastAsia"/>
          <w:color w:val="000000"/>
          <w:kern w:val="0"/>
          <w:sz w:val="24"/>
          <w:szCs w:val="24"/>
        </w:rPr>
        <w:t>交通标志</w:t>
      </w:r>
      <w:r>
        <w:rPr>
          <w:rFonts w:ascii="宋体" w:hAnsi="宋体" w:cs="宋体"/>
          <w:color w:val="000000"/>
          <w:kern w:val="0"/>
          <w:sz w:val="24"/>
          <w:szCs w:val="24"/>
        </w:rPr>
        <w:t>标线及设施</w:t>
      </w:r>
      <w:r w:rsidRPr="00626105">
        <w:rPr>
          <w:rFonts w:ascii="宋体" w:hAnsi="宋体" w:cs="宋体"/>
          <w:color w:val="000000"/>
          <w:kern w:val="0"/>
          <w:sz w:val="24"/>
          <w:szCs w:val="24"/>
        </w:rPr>
        <w:t>系统设计</w:t>
      </w:r>
    </w:p>
    <w:p w14:paraId="42A5D885" w14:textId="77777777" w:rsidR="00836C68" w:rsidRPr="00D17CD7" w:rsidRDefault="00836C68" w:rsidP="00836C68">
      <w:pPr>
        <w:widowControl/>
        <w:spacing w:line="360" w:lineRule="auto"/>
        <w:ind w:firstLineChars="200" w:firstLine="480"/>
        <w:rPr>
          <w:rFonts w:ascii="宋体" w:hAnsi="宋体" w:cs="宋体"/>
          <w:color w:val="000000"/>
          <w:kern w:val="0"/>
          <w:sz w:val="24"/>
          <w:szCs w:val="24"/>
        </w:rPr>
      </w:pPr>
      <w:r w:rsidRPr="00D17CD7">
        <w:rPr>
          <w:rFonts w:ascii="宋体" w:hAnsi="宋体" w:cs="宋体"/>
          <w:color w:val="000000"/>
          <w:kern w:val="0"/>
          <w:sz w:val="24"/>
          <w:szCs w:val="24"/>
        </w:rPr>
        <w:t>自动驾驶汽车通过</w:t>
      </w:r>
      <w:proofErr w:type="gramStart"/>
      <w:r w:rsidRPr="00D17CD7">
        <w:rPr>
          <w:rFonts w:ascii="宋体" w:hAnsi="宋体" w:cs="宋体"/>
          <w:color w:val="000000"/>
          <w:kern w:val="0"/>
          <w:sz w:val="24"/>
          <w:szCs w:val="24"/>
        </w:rPr>
        <w:t>对标志</w:t>
      </w:r>
      <w:proofErr w:type="gramEnd"/>
      <w:r w:rsidRPr="00D17CD7">
        <w:rPr>
          <w:rFonts w:ascii="宋体" w:hAnsi="宋体" w:cs="宋体"/>
          <w:color w:val="000000"/>
          <w:kern w:val="0"/>
          <w:sz w:val="24"/>
          <w:szCs w:val="24"/>
        </w:rPr>
        <w:t>标线进行识别来实现对交通管理与管制环境的认知，并根据认知来执行相应的驾驶策略。</w:t>
      </w:r>
    </w:p>
    <w:p w14:paraId="6F703909" w14:textId="77777777" w:rsidR="00836C68" w:rsidRPr="00D17CD7" w:rsidRDefault="00836C68" w:rsidP="00836C68">
      <w:pPr>
        <w:widowControl/>
        <w:spacing w:line="360" w:lineRule="auto"/>
        <w:ind w:firstLineChars="200" w:firstLine="480"/>
        <w:rPr>
          <w:rFonts w:ascii="宋体" w:hAnsi="宋体" w:cs="宋体"/>
          <w:color w:val="000000"/>
          <w:kern w:val="0"/>
          <w:sz w:val="24"/>
          <w:szCs w:val="24"/>
        </w:rPr>
      </w:pPr>
      <w:r w:rsidRPr="00D17CD7">
        <w:rPr>
          <w:rFonts w:ascii="宋体" w:hAnsi="宋体" w:cs="宋体"/>
          <w:color w:val="000000"/>
          <w:kern w:val="0"/>
          <w:sz w:val="24"/>
          <w:szCs w:val="24"/>
        </w:rPr>
        <w:t>自动驾驶汽车</w:t>
      </w:r>
      <w:proofErr w:type="gramStart"/>
      <w:r w:rsidRPr="00D17CD7">
        <w:rPr>
          <w:rFonts w:ascii="宋体" w:hAnsi="宋体" w:cs="宋体"/>
          <w:color w:val="000000"/>
          <w:kern w:val="0"/>
          <w:sz w:val="24"/>
          <w:szCs w:val="24"/>
        </w:rPr>
        <w:t>对标志</w:t>
      </w:r>
      <w:proofErr w:type="gramEnd"/>
      <w:r w:rsidRPr="00D17CD7">
        <w:rPr>
          <w:rFonts w:ascii="宋体" w:hAnsi="宋体" w:cs="宋体"/>
          <w:color w:val="000000"/>
          <w:kern w:val="0"/>
          <w:sz w:val="24"/>
          <w:szCs w:val="24"/>
        </w:rPr>
        <w:t>标线的识别有别于人类司机，需要针对自动驾驶汽车相关传感器的识别方式和识别性能，考虑</w:t>
      </w:r>
      <w:proofErr w:type="gramStart"/>
      <w:r w:rsidRPr="00D17CD7">
        <w:rPr>
          <w:rFonts w:ascii="宋体" w:hAnsi="宋体" w:cs="宋体"/>
          <w:color w:val="000000"/>
          <w:kern w:val="0"/>
          <w:sz w:val="24"/>
          <w:szCs w:val="24"/>
        </w:rPr>
        <w:t>对标志</w:t>
      </w:r>
      <w:proofErr w:type="gramEnd"/>
      <w:r w:rsidRPr="00D17CD7">
        <w:rPr>
          <w:rFonts w:ascii="宋体" w:hAnsi="宋体" w:cs="宋体"/>
          <w:color w:val="000000"/>
          <w:kern w:val="0"/>
          <w:sz w:val="24"/>
          <w:szCs w:val="24"/>
        </w:rPr>
        <w:t>标线的内容、颜色特性等物理属性和布置位置进行系统性的分析和考虑。同时需</w:t>
      </w:r>
      <w:proofErr w:type="gramStart"/>
      <w:r w:rsidRPr="00D17CD7">
        <w:rPr>
          <w:rFonts w:ascii="宋体" w:hAnsi="宋体" w:cs="宋体"/>
          <w:color w:val="000000"/>
          <w:kern w:val="0"/>
          <w:sz w:val="24"/>
          <w:szCs w:val="24"/>
        </w:rPr>
        <w:t>对标志</w:t>
      </w:r>
      <w:proofErr w:type="gramEnd"/>
      <w:r w:rsidRPr="00D17CD7">
        <w:rPr>
          <w:rFonts w:ascii="宋体" w:hAnsi="宋体" w:cs="宋体"/>
          <w:color w:val="000000"/>
          <w:kern w:val="0"/>
          <w:sz w:val="24"/>
          <w:szCs w:val="24"/>
        </w:rPr>
        <w:t>标线的电子化升级内容和方式进行同步考虑。</w:t>
      </w:r>
    </w:p>
    <w:p w14:paraId="3F48FC7D" w14:textId="77777777" w:rsidR="00836C68" w:rsidRPr="00364D9C" w:rsidRDefault="00836C68" w:rsidP="00836C68">
      <w:pPr>
        <w:pStyle w:val="2"/>
        <w:rPr>
          <w:rFonts w:hint="eastAsia"/>
          <w:sz w:val="28"/>
        </w:rPr>
      </w:pPr>
      <w:r w:rsidRPr="00364D9C">
        <w:rPr>
          <w:rFonts w:hint="eastAsia"/>
          <w:sz w:val="28"/>
        </w:rPr>
        <w:t>注意事项</w:t>
      </w:r>
    </w:p>
    <w:p w14:paraId="6E0B28BD" w14:textId="77777777" w:rsidR="00836C68" w:rsidRDefault="00836C68" w:rsidP="00836C68">
      <w:pPr>
        <w:widowControl/>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本大赛的主旨是提出设计方法，并能够指导实践，重点在于创造性的给出设计方案，而非进行数学模型研究。同学可以选择设计内容中的一点或者全部进行设计，可以选择一条典型的道路作为设计案例对象。</w:t>
      </w:r>
    </w:p>
    <w:p w14:paraId="3D26D8FD" w14:textId="77777777" w:rsidR="00836C68" w:rsidRPr="00D17CD7" w:rsidRDefault="00836C68" w:rsidP="00836C68">
      <w:pPr>
        <w:widowControl/>
        <w:spacing w:line="360" w:lineRule="auto"/>
        <w:ind w:firstLineChars="200" w:firstLine="480"/>
        <w:rPr>
          <w:rFonts w:ascii="宋体" w:hAnsi="宋体" w:cs="宋体" w:hint="eastAsia"/>
          <w:color w:val="000000"/>
          <w:kern w:val="0"/>
          <w:sz w:val="24"/>
          <w:szCs w:val="24"/>
        </w:rPr>
      </w:pPr>
    </w:p>
    <w:p w14:paraId="0CC654AD" w14:textId="77777777" w:rsidR="00CA3F1F" w:rsidRPr="00836C68" w:rsidRDefault="00CA3F1F">
      <w:bookmarkStart w:id="0" w:name="_GoBack"/>
      <w:bookmarkEnd w:id="0"/>
    </w:p>
    <w:sectPr w:rsidR="00CA3F1F" w:rsidRPr="00836C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68D5F" w14:textId="77777777" w:rsidR="00891308" w:rsidRDefault="00891308" w:rsidP="00836C68">
      <w:r>
        <w:separator/>
      </w:r>
    </w:p>
  </w:endnote>
  <w:endnote w:type="continuationSeparator" w:id="0">
    <w:p w14:paraId="015046DC" w14:textId="77777777" w:rsidR="00891308" w:rsidRDefault="00891308" w:rsidP="0083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BF1C4" w14:textId="77777777" w:rsidR="00891308" w:rsidRDefault="00891308" w:rsidP="00836C68">
      <w:r>
        <w:separator/>
      </w:r>
    </w:p>
  </w:footnote>
  <w:footnote w:type="continuationSeparator" w:id="0">
    <w:p w14:paraId="0E8C3E4D" w14:textId="77777777" w:rsidR="00891308" w:rsidRDefault="00891308" w:rsidP="00836C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269"/>
    <w:rsid w:val="00836C68"/>
    <w:rsid w:val="00891308"/>
    <w:rsid w:val="00AA5269"/>
    <w:rsid w:val="00CA3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D7920-A5DD-49A5-9D44-FA8A1AB5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6C68"/>
    <w:pPr>
      <w:widowControl w:val="0"/>
      <w:jc w:val="both"/>
    </w:pPr>
    <w:rPr>
      <w:rFonts w:ascii="Calibri" w:eastAsia="宋体" w:hAnsi="Calibri" w:cs="Times New Roman"/>
    </w:rPr>
  </w:style>
  <w:style w:type="paragraph" w:styleId="1">
    <w:name w:val="heading 1"/>
    <w:basedOn w:val="a"/>
    <w:next w:val="a"/>
    <w:link w:val="10"/>
    <w:uiPriority w:val="9"/>
    <w:qFormat/>
    <w:rsid w:val="00836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36C68"/>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6C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36C68"/>
    <w:rPr>
      <w:sz w:val="18"/>
      <w:szCs w:val="18"/>
    </w:rPr>
  </w:style>
  <w:style w:type="paragraph" w:styleId="a5">
    <w:name w:val="footer"/>
    <w:basedOn w:val="a"/>
    <w:link w:val="a6"/>
    <w:uiPriority w:val="99"/>
    <w:unhideWhenUsed/>
    <w:rsid w:val="00836C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36C68"/>
    <w:rPr>
      <w:sz w:val="18"/>
      <w:szCs w:val="18"/>
    </w:rPr>
  </w:style>
  <w:style w:type="character" w:customStyle="1" w:styleId="10">
    <w:name w:val="标题 1 字符"/>
    <w:basedOn w:val="a0"/>
    <w:link w:val="1"/>
    <w:uiPriority w:val="9"/>
    <w:rsid w:val="00836C68"/>
    <w:rPr>
      <w:rFonts w:ascii="Calibri" w:eastAsia="宋体" w:hAnsi="Calibri" w:cs="Times New Roman"/>
      <w:b/>
      <w:bCs/>
      <w:kern w:val="44"/>
      <w:sz w:val="44"/>
      <w:szCs w:val="44"/>
    </w:rPr>
  </w:style>
  <w:style w:type="character" w:customStyle="1" w:styleId="20">
    <w:name w:val="标题 2 字符"/>
    <w:basedOn w:val="a0"/>
    <w:link w:val="2"/>
    <w:uiPriority w:val="9"/>
    <w:rsid w:val="00836C68"/>
    <w:rPr>
      <w:rFonts w:ascii="等线 Light" w:eastAsia="等线 Light" w:hAnsi="等线 Light"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yanlin</dc:creator>
  <cp:keywords/>
  <dc:description/>
  <cp:lastModifiedBy>zhang yanlin</cp:lastModifiedBy>
  <cp:revision>2</cp:revision>
  <dcterms:created xsi:type="dcterms:W3CDTF">2018-10-17T09:57:00Z</dcterms:created>
  <dcterms:modified xsi:type="dcterms:W3CDTF">2018-10-17T09:57:00Z</dcterms:modified>
</cp:coreProperties>
</file>